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szCs w:val="24"/>
          <w:highlight w:val="none"/>
        </w:rPr>
      </w:pPr>
      <w:bookmarkStart w:id="0" w:name="_Toc3209"/>
      <w:bookmarkStart w:id="1" w:name="_Toc26001998"/>
      <w:bookmarkStart w:id="2" w:name="_Toc22828053"/>
      <w:bookmarkStart w:id="3" w:name="_Hlk135318192"/>
      <w:bookmarkStart w:id="4" w:name="_Toc24050271"/>
      <w:bookmarkStart w:id="5" w:name="_Toc22827970"/>
      <w:bookmarkStart w:id="6" w:name="_Toc6739"/>
      <w:bookmarkStart w:id="7" w:name="_Toc26002051"/>
      <w:bookmarkStart w:id="30" w:name="_GoBack"/>
      <w:r>
        <w:rPr>
          <w:rFonts w:hint="default" w:ascii="仿宋" w:hAnsi="仿宋" w:eastAsia="仿宋" w:cs="仿宋"/>
          <w:b/>
          <w:color w:val="auto"/>
          <w:sz w:val="32"/>
          <w:szCs w:val="32"/>
          <w:highlight w:val="none"/>
        </w:rPr>
        <w:t>市能源集团天子岭填埋场光储一体化项目</w:t>
      </w:r>
      <w:r>
        <w:rPr>
          <w:rFonts w:hint="eastAsia" w:ascii="仿宋" w:hAnsi="仿宋" w:eastAsia="仿宋" w:cs="仿宋"/>
          <w:b/>
          <w:color w:val="auto"/>
          <w:sz w:val="32"/>
          <w:szCs w:val="32"/>
          <w:highlight w:val="none"/>
        </w:rPr>
        <w:t>招标公告</w:t>
      </w:r>
      <w:bookmarkEnd w:id="0"/>
    </w:p>
    <w:bookmarkEnd w:id="1"/>
    <w:bookmarkEnd w:id="2"/>
    <w:bookmarkEnd w:id="3"/>
    <w:bookmarkEnd w:id="4"/>
    <w:bookmarkEnd w:id="5"/>
    <w:bookmarkEnd w:id="6"/>
    <w:bookmarkEnd w:id="7"/>
    <w:p>
      <w:pPr>
        <w:kinsoku w:val="0"/>
        <w:overflowPunct w:val="0"/>
        <w:autoSpaceDE w:val="0"/>
        <w:autoSpaceDN w:val="0"/>
        <w:adjustRightInd w:val="0"/>
        <w:snapToGrid w:val="0"/>
        <w:spacing w:line="360" w:lineRule="auto"/>
        <w:ind w:firstLine="482" w:firstLineChars="200"/>
        <w:outlineLvl w:val="1"/>
        <w:rPr>
          <w:rFonts w:ascii="仿宋" w:hAnsi="仿宋" w:eastAsia="仿宋" w:cs="仿宋"/>
          <w:b/>
          <w:bCs/>
          <w:color w:val="auto"/>
          <w:kern w:val="0"/>
          <w:sz w:val="24"/>
          <w:szCs w:val="24"/>
          <w:highlight w:val="none"/>
        </w:rPr>
      </w:pPr>
      <w:bookmarkStart w:id="8" w:name="bookmark20"/>
      <w:bookmarkEnd w:id="8"/>
      <w:bookmarkStart w:id="9" w:name="_Toc23852"/>
      <w:bookmarkStart w:id="10" w:name="_Toc22827968"/>
      <w:bookmarkStart w:id="11" w:name="_Toc29163"/>
      <w:bookmarkStart w:id="12" w:name="_Toc7945"/>
      <w:bookmarkStart w:id="13" w:name="_Toc23023"/>
      <w:bookmarkStart w:id="14" w:name="_Toc22828051"/>
      <w:bookmarkStart w:id="15" w:name="_Toc32665684"/>
      <w:bookmarkStart w:id="16" w:name="_Toc24050269"/>
      <w:r>
        <w:rPr>
          <w:rFonts w:hint="eastAsia" w:ascii="仿宋" w:hAnsi="仿宋" w:eastAsia="仿宋" w:cs="仿宋"/>
          <w:b/>
          <w:bCs/>
          <w:color w:val="auto"/>
          <w:kern w:val="0"/>
          <w:sz w:val="24"/>
          <w:szCs w:val="24"/>
          <w:highlight w:val="none"/>
        </w:rPr>
        <w:t>一、招标条件</w:t>
      </w:r>
      <w:bookmarkEnd w:id="9"/>
      <w:bookmarkEnd w:id="10"/>
      <w:bookmarkEnd w:id="11"/>
      <w:bookmarkEnd w:id="12"/>
      <w:bookmarkEnd w:id="13"/>
      <w:bookmarkEnd w:id="14"/>
      <w:bookmarkEnd w:id="15"/>
      <w:bookmarkEnd w:id="16"/>
    </w:p>
    <w:p>
      <w:pPr>
        <w:kinsoku w:val="0"/>
        <w:overflowPunct w:val="0"/>
        <w:adjustRightInd w:val="0"/>
        <w:snapToGrid w:val="0"/>
        <w:spacing w:line="360" w:lineRule="auto"/>
        <w:ind w:firstLine="480" w:firstLineChars="200"/>
        <w:rPr>
          <w:rFonts w:ascii="仿宋" w:hAnsi="仿宋" w:eastAsia="仿宋" w:cs="仿宋"/>
          <w:color w:val="auto"/>
          <w:sz w:val="24"/>
          <w:szCs w:val="24"/>
          <w:highlight w:val="none"/>
        </w:rPr>
      </w:pPr>
      <w:bookmarkStart w:id="17" w:name="bookmark3"/>
      <w:bookmarkEnd w:id="17"/>
      <w:bookmarkStart w:id="18" w:name="_Hlk24015002"/>
      <w:r>
        <w:rPr>
          <w:rFonts w:hint="default" w:ascii="仿宋" w:hAnsi="仿宋" w:eastAsia="仿宋" w:cs="仿宋"/>
          <w:color w:val="auto"/>
          <w:sz w:val="24"/>
          <w:szCs w:val="24"/>
          <w:highlight w:val="none"/>
          <w:u w:val="single"/>
        </w:rPr>
        <w:t>市能源集团天子岭填埋场光储一体化项目</w:t>
      </w:r>
      <w:r>
        <w:rPr>
          <w:rFonts w:hint="eastAsia" w:ascii="仿宋" w:hAnsi="仿宋" w:eastAsia="仿宋" w:cs="仿宋"/>
          <w:color w:val="auto"/>
          <w:spacing w:val="-4"/>
          <w:sz w:val="24"/>
          <w:szCs w:val="24"/>
          <w:highlight w:val="none"/>
        </w:rPr>
        <w:t>建设资金来</w:t>
      </w:r>
      <w:r>
        <w:rPr>
          <w:rFonts w:hint="eastAsia" w:ascii="仿宋" w:hAnsi="仿宋" w:eastAsia="仿宋" w:cs="仿宋"/>
          <w:color w:val="auto"/>
          <w:spacing w:val="-97"/>
          <w:sz w:val="24"/>
          <w:szCs w:val="24"/>
          <w:highlight w:val="none"/>
        </w:rPr>
        <w:t xml:space="preserve"> </w:t>
      </w:r>
      <w:r>
        <w:rPr>
          <w:rFonts w:hint="eastAsia" w:ascii="仿宋" w:hAnsi="仿宋" w:eastAsia="仿宋" w:cs="仿宋"/>
          <w:color w:val="auto"/>
          <w:spacing w:val="-1"/>
          <w:sz w:val="24"/>
          <w:szCs w:val="24"/>
          <w:highlight w:val="none"/>
        </w:rPr>
        <w:t>自</w:t>
      </w:r>
      <w:r>
        <w:rPr>
          <w:rFonts w:hint="eastAsia" w:ascii="仿宋" w:hAnsi="仿宋" w:eastAsia="仿宋" w:cs="仿宋"/>
          <w:color w:val="auto"/>
          <w:spacing w:val="-1"/>
          <w:sz w:val="24"/>
          <w:szCs w:val="24"/>
          <w:highlight w:val="none"/>
          <w:u w:val="single"/>
        </w:rPr>
        <w:t>企业</w:t>
      </w:r>
      <w:r>
        <w:rPr>
          <w:rFonts w:hint="eastAsia" w:ascii="仿宋" w:hAnsi="仿宋" w:eastAsia="仿宋" w:cs="仿宋"/>
          <w:color w:val="auto"/>
          <w:spacing w:val="-12"/>
          <w:sz w:val="24"/>
          <w:szCs w:val="24"/>
          <w:highlight w:val="none"/>
          <w:u w:val="single"/>
        </w:rPr>
        <w:t>自筹资金</w:t>
      </w:r>
      <w:r>
        <w:rPr>
          <w:rFonts w:hint="eastAsia" w:ascii="仿宋" w:hAnsi="仿宋" w:eastAsia="仿宋" w:cs="仿宋"/>
          <w:color w:val="auto"/>
          <w:spacing w:val="-12"/>
          <w:sz w:val="24"/>
          <w:szCs w:val="24"/>
          <w:highlight w:val="none"/>
        </w:rPr>
        <w:t>，出资比例为</w:t>
      </w:r>
      <w:r>
        <w:rPr>
          <w:rFonts w:hint="eastAsia" w:ascii="仿宋" w:hAnsi="仿宋" w:eastAsia="仿宋" w:cs="仿宋"/>
          <w:color w:val="auto"/>
          <w:spacing w:val="-12"/>
          <w:sz w:val="24"/>
          <w:szCs w:val="24"/>
          <w:highlight w:val="none"/>
          <w:u w:val="single"/>
        </w:rPr>
        <w:t>100%</w:t>
      </w:r>
      <w:r>
        <w:rPr>
          <w:rFonts w:hint="eastAsia" w:ascii="仿宋" w:hAnsi="仿宋" w:eastAsia="仿宋" w:cs="仿宋"/>
          <w:color w:val="auto"/>
          <w:spacing w:val="-6"/>
          <w:sz w:val="24"/>
          <w:szCs w:val="24"/>
          <w:highlight w:val="none"/>
        </w:rPr>
        <w:t>，招标人为</w:t>
      </w:r>
      <w:r>
        <w:rPr>
          <w:rFonts w:hint="eastAsia" w:ascii="仿宋" w:hAnsi="仿宋" w:eastAsia="仿宋" w:cs="仿宋"/>
          <w:color w:val="auto"/>
          <w:spacing w:val="-6"/>
          <w:sz w:val="24"/>
          <w:szCs w:val="24"/>
          <w:highlight w:val="none"/>
          <w:u w:val="single"/>
        </w:rPr>
        <w:t>杭州城市能源有限公司</w:t>
      </w:r>
      <w:r>
        <w:rPr>
          <w:rFonts w:hint="eastAsia" w:ascii="仿宋" w:hAnsi="仿宋" w:eastAsia="仿宋" w:cs="仿宋"/>
          <w:color w:val="auto"/>
          <w:spacing w:val="-6"/>
          <w:sz w:val="24"/>
          <w:szCs w:val="24"/>
          <w:highlight w:val="none"/>
        </w:rPr>
        <w:t>，委托代理机构为</w:t>
      </w:r>
      <w:r>
        <w:rPr>
          <w:rFonts w:hint="eastAsia" w:ascii="仿宋" w:hAnsi="仿宋" w:eastAsia="仿宋" w:cs="仿宋"/>
          <w:color w:val="auto"/>
          <w:spacing w:val="-6"/>
          <w:sz w:val="24"/>
          <w:szCs w:val="24"/>
          <w:highlight w:val="none"/>
          <w:u w:val="single"/>
        </w:rPr>
        <w:t>浙江省成套工程有限公司</w:t>
      </w:r>
      <w:r>
        <w:rPr>
          <w:rFonts w:hint="eastAsia" w:ascii="仿宋" w:hAnsi="仿宋" w:eastAsia="仿宋" w:cs="仿宋"/>
          <w:color w:val="auto"/>
          <w:spacing w:val="-4"/>
          <w:sz w:val="24"/>
          <w:szCs w:val="24"/>
          <w:highlight w:val="none"/>
        </w:rPr>
        <w:t>。项目已具备招标</w:t>
      </w:r>
      <w:r>
        <w:rPr>
          <w:rFonts w:hint="eastAsia" w:ascii="仿宋" w:hAnsi="仿宋" w:eastAsia="仿宋" w:cs="仿宋"/>
          <w:color w:val="auto"/>
          <w:spacing w:val="-95"/>
          <w:sz w:val="24"/>
          <w:szCs w:val="24"/>
          <w:highlight w:val="none"/>
        </w:rPr>
        <w:t xml:space="preserve"> </w:t>
      </w:r>
      <w:r>
        <w:rPr>
          <w:rFonts w:hint="eastAsia" w:ascii="仿宋" w:hAnsi="仿宋" w:eastAsia="仿宋" w:cs="仿宋"/>
          <w:color w:val="auto"/>
          <w:sz w:val="24"/>
          <w:szCs w:val="24"/>
          <w:highlight w:val="none"/>
        </w:rPr>
        <w:t>条件</w:t>
      </w:r>
      <w:bookmarkEnd w:id="18"/>
      <w:r>
        <w:rPr>
          <w:rFonts w:hint="eastAsia" w:ascii="仿宋" w:hAnsi="仿宋" w:eastAsia="仿宋" w:cs="仿宋"/>
          <w:color w:val="auto"/>
          <w:sz w:val="24"/>
          <w:szCs w:val="24"/>
          <w:highlight w:val="none"/>
        </w:rPr>
        <w:t>，现对该项目的施工进行公开招标。</w:t>
      </w:r>
    </w:p>
    <w:p>
      <w:pPr>
        <w:tabs>
          <w:tab w:val="left" w:pos="7185"/>
        </w:tabs>
        <w:adjustRightInd w:val="0"/>
        <w:snapToGrid w:val="0"/>
        <w:spacing w:line="360" w:lineRule="auto"/>
        <w:ind w:firstLine="482" w:firstLineChars="200"/>
        <w:outlineLvl w:val="1"/>
        <w:rPr>
          <w:rFonts w:ascii="仿宋" w:hAnsi="仿宋" w:eastAsia="仿宋" w:cs="仿宋"/>
          <w:color w:val="auto"/>
          <w:sz w:val="24"/>
          <w:szCs w:val="24"/>
          <w:highlight w:val="none"/>
        </w:rPr>
      </w:pPr>
      <w:bookmarkStart w:id="19" w:name="_Toc23210"/>
      <w:r>
        <w:rPr>
          <w:rFonts w:hint="eastAsia" w:ascii="仿宋" w:hAnsi="仿宋" w:eastAsia="仿宋" w:cs="仿宋"/>
          <w:b/>
          <w:bCs/>
          <w:color w:val="auto"/>
          <w:sz w:val="24"/>
          <w:szCs w:val="24"/>
          <w:highlight w:val="none"/>
        </w:rPr>
        <w:t>二、工程概况</w:t>
      </w:r>
      <w:bookmarkEnd w:id="19"/>
      <w:r>
        <w:rPr>
          <w:rFonts w:hint="eastAsia" w:ascii="仿宋" w:hAnsi="仿宋" w:eastAsia="仿宋" w:cs="仿宋"/>
          <w:color w:val="auto"/>
          <w:sz w:val="24"/>
          <w:szCs w:val="24"/>
          <w:highlight w:val="none"/>
        </w:rPr>
        <w:t xml:space="preserve"> </w:t>
      </w:r>
    </w:p>
    <w:p>
      <w:pPr>
        <w:adjustRightInd w:val="0"/>
        <w:snapToGrid w:val="0"/>
        <w:spacing w:line="360" w:lineRule="auto"/>
        <w:ind w:firstLine="480" w:firstLineChars="200"/>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1.工程名称：</w:t>
      </w:r>
      <w:r>
        <w:rPr>
          <w:rFonts w:ascii="仿宋" w:hAnsi="仿宋" w:eastAsia="仿宋" w:cs="仿宋"/>
          <w:color w:val="auto"/>
          <w:sz w:val="24"/>
          <w:szCs w:val="24"/>
          <w:highlight w:val="none"/>
        </w:rPr>
        <w:t>市能源集团天子岭填埋场光储一体化项目</w:t>
      </w:r>
    </w:p>
    <w:p>
      <w:pPr>
        <w:adjustRightInd w:val="0"/>
        <w:snapToGrid w:val="0"/>
        <w:spacing w:line="360" w:lineRule="auto"/>
        <w:ind w:firstLine="480" w:firstLineChars="200"/>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招标编号：</w:t>
      </w:r>
      <w:r>
        <w:rPr>
          <w:rFonts w:ascii="仿宋" w:hAnsi="仿宋" w:eastAsia="仿宋" w:cs="仿宋"/>
          <w:color w:val="auto"/>
          <w:sz w:val="24"/>
          <w:szCs w:val="24"/>
          <w:highlight w:val="none"/>
        </w:rPr>
        <w:t>ZJCT6-NY2023-06</w:t>
      </w:r>
    </w:p>
    <w:p>
      <w:pPr>
        <w:adjustRightInd w:val="0"/>
        <w:snapToGrid w:val="0"/>
        <w:spacing w:line="360" w:lineRule="auto"/>
        <w:ind w:firstLine="480" w:firstLineChars="200"/>
        <w:rPr>
          <w:rFonts w:ascii="仿宋" w:hAnsi="仿宋" w:eastAsia="仿宋" w:cs="仿宋"/>
          <w:color w:val="auto"/>
          <w:sz w:val="24"/>
          <w:szCs w:val="24"/>
          <w:highlight w:val="none"/>
          <w:u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建设规模：</w:t>
      </w:r>
      <w:r>
        <w:rPr>
          <w:rFonts w:hint="default" w:ascii="仿宋" w:hAnsi="仿宋" w:eastAsia="仿宋" w:cs="仿宋"/>
          <w:color w:val="auto"/>
          <w:sz w:val="24"/>
          <w:szCs w:val="24"/>
          <w:highlight w:val="none"/>
          <w:u w:val="none"/>
        </w:rPr>
        <w:t>市能源集团天子岭填埋场光储一体化项目</w:t>
      </w:r>
      <w:r>
        <w:rPr>
          <w:rFonts w:hint="eastAsia" w:ascii="仿宋" w:hAnsi="仿宋" w:eastAsia="仿宋" w:cs="仿宋"/>
          <w:color w:val="auto"/>
          <w:sz w:val="24"/>
          <w:szCs w:val="24"/>
          <w:highlight w:val="none"/>
          <w:u w:val="none"/>
          <w:lang w:eastAsia="zh-CN"/>
        </w:rPr>
        <w:t>草坪场区光伏装机量</w:t>
      </w:r>
      <w:r>
        <w:rPr>
          <w:rFonts w:hint="eastAsia" w:ascii="仿宋" w:hAnsi="仿宋" w:eastAsia="仿宋" w:cs="仿宋"/>
          <w:color w:val="auto"/>
          <w:sz w:val="24"/>
          <w:szCs w:val="24"/>
          <w:highlight w:val="none"/>
          <w:u w:val="none"/>
        </w:rPr>
        <w:t>7.19MWP,综合体水</w:t>
      </w:r>
      <w:r>
        <w:rPr>
          <w:rFonts w:hint="eastAsia" w:ascii="仿宋" w:hAnsi="仿宋" w:eastAsia="仿宋" w:cs="仿宋"/>
          <w:color w:val="auto"/>
          <w:sz w:val="24"/>
          <w:szCs w:val="24"/>
          <w:highlight w:val="none"/>
          <w:u w:val="none"/>
          <w:lang w:val="en-US" w:eastAsia="zh-Hans"/>
        </w:rPr>
        <w:t>泥</w:t>
      </w:r>
      <w:r>
        <w:rPr>
          <w:rFonts w:hint="eastAsia" w:ascii="仿宋" w:hAnsi="仿宋" w:eastAsia="仿宋" w:cs="仿宋"/>
          <w:color w:val="auto"/>
          <w:sz w:val="24"/>
          <w:szCs w:val="24"/>
          <w:highlight w:val="none"/>
          <w:u w:val="none"/>
        </w:rPr>
        <w:t>屋面光伏</w:t>
      </w:r>
      <w:r>
        <w:rPr>
          <w:rFonts w:hint="eastAsia" w:ascii="仿宋" w:hAnsi="仿宋" w:eastAsia="仿宋" w:cs="仿宋"/>
          <w:color w:val="auto"/>
          <w:sz w:val="24"/>
          <w:szCs w:val="24"/>
          <w:highlight w:val="none"/>
          <w:u w:val="none"/>
          <w:lang w:eastAsia="zh-CN"/>
        </w:rPr>
        <w:t>装机量</w:t>
      </w:r>
      <w:r>
        <w:rPr>
          <w:rFonts w:hint="eastAsia" w:ascii="仿宋" w:hAnsi="仿宋" w:eastAsia="仿宋" w:cs="仿宋"/>
          <w:color w:val="auto"/>
          <w:sz w:val="24"/>
          <w:szCs w:val="24"/>
          <w:highlight w:val="none"/>
          <w:u w:val="none"/>
        </w:rPr>
        <w:t>0.27MWP</w:t>
      </w:r>
      <w:r>
        <w:rPr>
          <w:rFonts w:hint="default" w:ascii="仿宋" w:hAnsi="仿宋" w:eastAsia="仿宋" w:cs="仿宋"/>
          <w:color w:val="auto"/>
          <w:sz w:val="24"/>
          <w:szCs w:val="24"/>
          <w:highlight w:val="none"/>
          <w:u w:val="none"/>
        </w:rPr>
        <w:t>，</w:t>
      </w:r>
      <w:r>
        <w:rPr>
          <w:rFonts w:hint="eastAsia" w:ascii="仿宋" w:hAnsi="仿宋" w:eastAsia="仿宋" w:cs="仿宋"/>
          <w:color w:val="auto"/>
          <w:sz w:val="24"/>
          <w:szCs w:val="24"/>
          <w:highlight w:val="none"/>
          <w:u w:val="none"/>
        </w:rPr>
        <w:t>并配套建设1套200kW/400KW</w:t>
      </w:r>
      <w:r>
        <w:rPr>
          <w:rFonts w:hint="eastAsia" w:ascii="仿宋" w:hAnsi="仿宋" w:eastAsia="仿宋" w:cs="仿宋"/>
          <w:color w:val="auto"/>
          <w:sz w:val="24"/>
          <w:szCs w:val="24"/>
          <w:highlight w:val="none"/>
          <w:u w:val="none"/>
          <w:lang w:val="en-US" w:eastAsia="zh-Hans"/>
        </w:rPr>
        <w:t>h储能</w:t>
      </w:r>
      <w:r>
        <w:rPr>
          <w:rFonts w:hint="eastAsia" w:ascii="仿宋" w:hAnsi="仿宋" w:eastAsia="仿宋" w:cs="仿宋"/>
          <w:color w:val="auto"/>
          <w:sz w:val="24"/>
          <w:szCs w:val="24"/>
          <w:highlight w:val="none"/>
          <w:u w:val="none"/>
        </w:rPr>
        <w:t>系统。</w:t>
      </w:r>
    </w:p>
    <w:p>
      <w:pPr>
        <w:adjustRightInd w:val="0"/>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u w:val="none"/>
        </w:rPr>
        <w:t>4</w:t>
      </w:r>
      <w:r>
        <w:rPr>
          <w:rFonts w:hint="eastAsia" w:ascii="仿宋" w:hAnsi="仿宋" w:eastAsia="仿宋" w:cs="仿宋"/>
          <w:color w:val="auto"/>
          <w:sz w:val="24"/>
          <w:szCs w:val="24"/>
          <w:highlight w:val="none"/>
          <w:u w:val="none"/>
        </w:rPr>
        <w:t>.建设地点：</w:t>
      </w:r>
      <w:r>
        <w:rPr>
          <w:rFonts w:hint="eastAsia" w:ascii="仿宋" w:hAnsi="仿宋" w:eastAsia="仿宋" w:cs="仿宋"/>
          <w:color w:val="auto"/>
          <w:sz w:val="24"/>
          <w:szCs w:val="24"/>
          <w:highlight w:val="none"/>
          <w:u w:val="none"/>
        </w:rPr>
        <w:t>浙江省杭州市</w:t>
      </w:r>
      <w:r>
        <w:rPr>
          <w:rFonts w:hint="default" w:ascii="仿宋" w:hAnsi="仿宋" w:eastAsia="仿宋" w:cs="仿宋"/>
          <w:color w:val="auto"/>
          <w:sz w:val="24"/>
          <w:szCs w:val="24"/>
          <w:highlight w:val="none"/>
          <w:u w:val="none"/>
        </w:rPr>
        <w:t>天子岭填埋场</w:t>
      </w:r>
      <w:r>
        <w:rPr>
          <w:rFonts w:hint="eastAsia" w:ascii="仿宋" w:hAnsi="仿宋" w:eastAsia="仿宋" w:cs="仿宋"/>
          <w:color w:val="auto"/>
          <w:sz w:val="24"/>
          <w:szCs w:val="24"/>
          <w:highlight w:val="none"/>
          <w:u w:val="none"/>
        </w:rPr>
        <w:t>。</w:t>
      </w:r>
    </w:p>
    <w:p>
      <w:pPr>
        <w:adjustRightInd w:val="0"/>
        <w:snapToGrid w:val="0"/>
        <w:spacing w:line="360" w:lineRule="auto"/>
        <w:ind w:firstLine="482" w:firstLineChars="200"/>
        <w:outlineLvl w:val="1"/>
        <w:rPr>
          <w:rFonts w:ascii="仿宋" w:hAnsi="仿宋" w:eastAsia="仿宋" w:cs="仿宋"/>
          <w:b/>
          <w:bCs/>
          <w:color w:val="auto"/>
          <w:sz w:val="24"/>
          <w:szCs w:val="24"/>
          <w:highlight w:val="none"/>
        </w:rPr>
      </w:pPr>
      <w:bookmarkStart w:id="20" w:name="_Toc7828"/>
      <w:r>
        <w:rPr>
          <w:rFonts w:hint="eastAsia" w:ascii="仿宋" w:hAnsi="仿宋" w:eastAsia="仿宋" w:cs="仿宋"/>
          <w:b/>
          <w:bCs/>
          <w:color w:val="auto"/>
          <w:sz w:val="24"/>
          <w:szCs w:val="24"/>
          <w:highlight w:val="none"/>
        </w:rPr>
        <w:t>三、招标范围</w:t>
      </w:r>
      <w:bookmarkEnd w:id="20"/>
      <w:r>
        <w:rPr>
          <w:rFonts w:hint="eastAsia" w:ascii="仿宋" w:hAnsi="仿宋" w:eastAsia="仿宋" w:cs="仿宋"/>
          <w:b/>
          <w:bCs/>
          <w:color w:val="auto"/>
          <w:sz w:val="24"/>
          <w:szCs w:val="24"/>
          <w:highlight w:val="none"/>
        </w:rPr>
        <w:t>、内容、工期</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1.招标范围及内容：</w:t>
      </w:r>
      <w:r>
        <w:rPr>
          <w:rFonts w:hint="eastAsia" w:ascii="仿宋" w:hAnsi="仿宋" w:eastAsia="仿宋" w:cs="仿宋"/>
          <w:color w:val="auto"/>
          <w:sz w:val="24"/>
          <w:szCs w:val="24"/>
          <w:highlight w:val="none"/>
          <w:u w:val="single"/>
        </w:rPr>
        <w:t>施工图范围内的</w:t>
      </w:r>
      <w:r>
        <w:rPr>
          <w:rFonts w:hint="eastAsia" w:ascii="仿宋" w:hAnsi="仿宋" w:eastAsia="仿宋" w:cs="仿宋"/>
          <w:color w:val="auto"/>
          <w:sz w:val="24"/>
          <w:szCs w:val="24"/>
          <w:highlight w:val="none"/>
          <w:u w:val="single"/>
        </w:rPr>
        <w:t>光伏系统和储能系统设备供货及安装、电缆敷设、防雷接地、并网接入工程和</w:t>
      </w:r>
      <w:r>
        <w:rPr>
          <w:rFonts w:hint="eastAsia" w:ascii="仿宋" w:hAnsi="仿宋" w:eastAsia="仿宋" w:cs="仿宋"/>
          <w:color w:val="auto"/>
          <w:sz w:val="24"/>
          <w:szCs w:val="24"/>
          <w:highlight w:val="none"/>
          <w:u w:val="single"/>
          <w:lang w:eastAsia="zh-CN"/>
        </w:rPr>
        <w:t>配套</w:t>
      </w:r>
      <w:r>
        <w:rPr>
          <w:rFonts w:hint="eastAsia" w:ascii="仿宋" w:hAnsi="仿宋" w:eastAsia="仿宋" w:cs="仿宋"/>
          <w:color w:val="auto"/>
          <w:sz w:val="24"/>
          <w:szCs w:val="24"/>
          <w:highlight w:val="none"/>
          <w:u w:val="single"/>
        </w:rPr>
        <w:t>土建</w:t>
      </w:r>
      <w:r>
        <w:rPr>
          <w:rFonts w:hint="eastAsia" w:ascii="仿宋" w:hAnsi="仿宋" w:eastAsia="仿宋" w:cs="仿宋"/>
          <w:color w:val="auto"/>
          <w:sz w:val="24"/>
          <w:szCs w:val="24"/>
          <w:highlight w:val="none"/>
          <w:u w:val="single"/>
          <w:lang w:eastAsia="zh-CN"/>
        </w:rPr>
        <w:t>工程</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rPr>
        <w:t>包工包料，具体详见施工图</w:t>
      </w:r>
      <w:r>
        <w:rPr>
          <w:rFonts w:hint="eastAsia" w:ascii="仿宋" w:hAnsi="仿宋" w:eastAsia="仿宋" w:cs="仿宋"/>
          <w:color w:val="auto"/>
          <w:sz w:val="24"/>
          <w:szCs w:val="24"/>
          <w:highlight w:val="none"/>
        </w:rPr>
        <w:t>。</w:t>
      </w:r>
    </w:p>
    <w:p>
      <w:pPr>
        <w:widowControl/>
        <w:adjustRightInd w:val="0"/>
        <w:snapToGrid w:val="0"/>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2.工期：</w:t>
      </w:r>
      <w:r>
        <w:rPr>
          <w:rFonts w:hint="eastAsia" w:ascii="仿宋" w:hAnsi="仿宋" w:eastAsia="仿宋" w:cs="仿宋"/>
          <w:color w:val="auto"/>
          <w:kern w:val="0"/>
          <w:sz w:val="24"/>
          <w:szCs w:val="24"/>
          <w:highlight w:val="none"/>
          <w:u w:val="single"/>
        </w:rPr>
        <w:t xml:space="preserve"> </w:t>
      </w:r>
      <w:r>
        <w:rPr>
          <w:rFonts w:hint="default" w:ascii="仿宋" w:hAnsi="仿宋" w:eastAsia="仿宋" w:cs="仿宋"/>
          <w:color w:val="auto"/>
          <w:kern w:val="0"/>
          <w:sz w:val="24"/>
          <w:szCs w:val="24"/>
          <w:highlight w:val="none"/>
          <w:u w:val="single"/>
        </w:rPr>
        <w:t>60</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日历天。</w:t>
      </w:r>
    </w:p>
    <w:p>
      <w:pPr>
        <w:widowControl/>
        <w:adjustRightInd w:val="0"/>
        <w:snapToGrid w:val="0"/>
        <w:spacing w:line="360" w:lineRule="auto"/>
        <w:ind w:firstLine="480" w:firstLineChars="200"/>
        <w:rPr>
          <w:rFonts w:ascii="等线" w:hAnsi="等线" w:eastAsia="仿宋" w:cs="黑体"/>
          <w:color w:val="auto"/>
          <w:highlight w:val="none"/>
        </w:rPr>
      </w:pPr>
      <w:r>
        <w:rPr>
          <w:rFonts w:hint="eastAsia" w:ascii="仿宋" w:hAnsi="仿宋" w:eastAsia="仿宋" w:cs="仿宋"/>
          <w:color w:val="auto"/>
          <w:sz w:val="24"/>
          <w:szCs w:val="24"/>
          <w:highlight w:val="none"/>
        </w:rPr>
        <w:t>3.最高限价：</w:t>
      </w:r>
      <w:r>
        <w:rPr>
          <w:rFonts w:ascii="仿宋" w:hAnsi="仿宋" w:eastAsia="仿宋" w:cs="仿宋"/>
          <w:color w:val="auto"/>
          <w:sz w:val="24"/>
          <w:szCs w:val="24"/>
          <w:highlight w:val="none"/>
          <w:u w:val="single"/>
        </w:rPr>
        <w:t xml:space="preserve"> </w:t>
      </w:r>
      <w:r>
        <w:rPr>
          <w:rFonts w:hint="default" w:ascii="仿宋" w:hAnsi="仿宋" w:eastAsia="仿宋" w:cs="仿宋"/>
          <w:color w:val="auto"/>
          <w:sz w:val="24"/>
          <w:szCs w:val="24"/>
          <w:highlight w:val="none"/>
          <w:u w:val="single"/>
        </w:rPr>
        <w:t xml:space="preserve">  34123903  </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w:t>
      </w:r>
    </w:p>
    <w:p>
      <w:pPr>
        <w:adjustRightInd w:val="0"/>
        <w:snapToGrid w:val="0"/>
        <w:spacing w:line="360" w:lineRule="auto"/>
        <w:ind w:firstLine="482" w:firstLineChars="200"/>
        <w:outlineLvl w:val="1"/>
        <w:rPr>
          <w:rFonts w:ascii="仿宋" w:hAnsi="仿宋" w:eastAsia="仿宋" w:cs="仿宋"/>
          <w:b/>
          <w:bCs/>
          <w:color w:val="auto"/>
          <w:sz w:val="24"/>
          <w:szCs w:val="24"/>
          <w:highlight w:val="none"/>
        </w:rPr>
      </w:pPr>
      <w:bookmarkStart w:id="21" w:name="_Toc7343"/>
      <w:r>
        <w:rPr>
          <w:rFonts w:hint="eastAsia" w:ascii="仿宋" w:hAnsi="仿宋" w:eastAsia="仿宋" w:cs="仿宋"/>
          <w:b/>
          <w:bCs/>
          <w:color w:val="auto"/>
          <w:sz w:val="24"/>
          <w:szCs w:val="24"/>
          <w:highlight w:val="none"/>
        </w:rPr>
        <w:t>四、投标人资格条件</w:t>
      </w:r>
      <w:bookmarkEnd w:id="21"/>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1.具有独立法人资格；</w:t>
      </w:r>
    </w:p>
    <w:p>
      <w:pPr>
        <w:adjustRightInd w:val="0"/>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同时具备电力工程施工总承包三级及以上和承装（修、试）电力设施许可证</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承装、承修、承试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五级及以上资质。</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kern w:val="0"/>
          <w:sz w:val="24"/>
          <w:szCs w:val="24"/>
          <w:highlight w:val="none"/>
        </w:rPr>
        <w:t>具备有效的企业安全生产许可证（联合体投标的指具备电力工程施工总承包资质单位）</w:t>
      </w:r>
      <w:r>
        <w:rPr>
          <w:rFonts w:hint="eastAsia" w:ascii="仿宋" w:hAnsi="仿宋" w:eastAsia="仿宋" w:cs="仿宋"/>
          <w:color w:val="auto"/>
          <w:sz w:val="24"/>
          <w:szCs w:val="24"/>
          <w:highlight w:val="none"/>
        </w:rPr>
        <w:t>；</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4.拟派项目经理具有注册在投标人单位的</w:t>
      </w:r>
      <w:r>
        <w:rPr>
          <w:rFonts w:hint="eastAsia" w:ascii="仿宋" w:hAnsi="仿宋" w:eastAsia="仿宋" w:cs="仿宋"/>
          <w:color w:val="auto"/>
          <w:sz w:val="24"/>
          <w:szCs w:val="24"/>
          <w:highlight w:val="none"/>
          <w:u w:val="single"/>
        </w:rPr>
        <w:t>机电</w:t>
      </w:r>
      <w:r>
        <w:rPr>
          <w:rFonts w:hint="eastAsia" w:ascii="仿宋" w:hAnsi="仿宋" w:eastAsia="仿宋" w:cs="仿宋"/>
          <w:color w:val="auto"/>
          <w:sz w:val="24"/>
          <w:szCs w:val="24"/>
          <w:highlight w:val="none"/>
        </w:rPr>
        <w:t>工程专业</w:t>
      </w:r>
      <w:r>
        <w:rPr>
          <w:rFonts w:hint="eastAsia" w:ascii="仿宋" w:hAnsi="仿宋" w:eastAsia="仿宋" w:cs="仿宋"/>
          <w:color w:val="auto"/>
          <w:sz w:val="24"/>
          <w:szCs w:val="24"/>
          <w:highlight w:val="none"/>
          <w:u w:val="single"/>
        </w:rPr>
        <w:t>二级及以上</w:t>
      </w:r>
      <w:r>
        <w:rPr>
          <w:rFonts w:hint="eastAsia" w:ascii="仿宋" w:hAnsi="仿宋" w:eastAsia="仿宋" w:cs="仿宋"/>
          <w:color w:val="auto"/>
          <w:sz w:val="24"/>
          <w:szCs w:val="24"/>
          <w:highlight w:val="none"/>
        </w:rPr>
        <w:t>建造师执业资格，同时具有“三类人员”B类证书。</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5.单位负责人为同一人或者存在直接控股、管理关系的不同单位，不得同时参加同一合同项下的投标。（以开标当天招标代理机构通过“天眼查”查询结果为准）；</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6.参加</w:t>
      </w:r>
      <w:r>
        <w:rPr>
          <w:rFonts w:hint="eastAsia" w:ascii="仿宋" w:hAnsi="仿宋" w:eastAsia="仿宋" w:cs="仿宋"/>
          <w:color w:val="auto"/>
          <w:sz w:val="24"/>
          <w:szCs w:val="24"/>
          <w:highlight w:val="none"/>
          <w:lang w:val="en-US" w:eastAsia="zh-CN"/>
        </w:rPr>
        <w:t>本次</w:t>
      </w:r>
      <w:r>
        <w:rPr>
          <w:rFonts w:hint="eastAsia" w:ascii="仿宋" w:hAnsi="仿宋" w:eastAsia="仿宋" w:cs="仿宋"/>
          <w:color w:val="auto"/>
          <w:sz w:val="24"/>
          <w:szCs w:val="24"/>
          <w:highlight w:val="none"/>
        </w:rPr>
        <w:t>采购活动前三年内，在经营活动中无重大违法记录；</w:t>
      </w:r>
    </w:p>
    <w:p>
      <w:pPr>
        <w:adjustRightInd w:val="0"/>
        <w:snapToGrid w:val="0"/>
        <w:spacing w:line="360" w:lineRule="auto"/>
        <w:ind w:firstLine="480" w:firstLineChars="200"/>
        <w:rPr>
          <w:rFonts w:ascii="仿宋" w:hAnsi="仿宋" w:eastAsia="仿宋" w:cs="仿宋"/>
          <w:color w:val="auto"/>
          <w:spacing w:val="-1"/>
          <w:kern w:val="0"/>
          <w:sz w:val="24"/>
          <w:szCs w:val="24"/>
          <w:highlight w:val="none"/>
        </w:rPr>
      </w:pPr>
      <w:r>
        <w:rPr>
          <w:rFonts w:hint="eastAsia" w:ascii="仿宋" w:hAnsi="仿宋" w:eastAsia="仿宋" w:cs="仿宋"/>
          <w:color w:val="auto"/>
          <w:sz w:val="24"/>
          <w:szCs w:val="24"/>
          <w:highlight w:val="none"/>
        </w:rPr>
        <w:t>7.</w:t>
      </w:r>
      <w:r>
        <w:rPr>
          <w:rFonts w:hint="eastAsia" w:ascii="仿宋" w:hAnsi="仿宋" w:eastAsia="仿宋" w:cs="仿宋"/>
          <w:color w:val="auto"/>
          <w:spacing w:val="7"/>
          <w:kern w:val="0"/>
          <w:sz w:val="24"/>
          <w:szCs w:val="24"/>
          <w:highlight w:val="none"/>
        </w:rPr>
        <w:t>本次招标</w:t>
      </w:r>
      <w:r>
        <w:rPr>
          <w:rFonts w:ascii="仿宋" w:hAnsi="仿宋" w:eastAsia="仿宋" w:cs="仿宋"/>
          <w:color w:val="auto"/>
          <w:sz w:val="24"/>
          <w:szCs w:val="24"/>
          <w:highlight w:val="none"/>
          <w:u w:val="single"/>
        </w:rPr>
        <w:sym w:font="Wingdings" w:char="F0FE"/>
      </w:r>
      <w:r>
        <w:rPr>
          <w:rFonts w:hint="eastAsia" w:ascii="仿宋" w:hAnsi="仿宋" w:eastAsia="仿宋" w:cs="仿宋"/>
          <w:color w:val="auto"/>
          <w:spacing w:val="6"/>
          <w:kern w:val="0"/>
          <w:sz w:val="24"/>
          <w:szCs w:val="24"/>
          <w:highlight w:val="none"/>
          <w:u w:val="single"/>
        </w:rPr>
        <w:t>接受/□不接受</w:t>
      </w:r>
      <w:r>
        <w:rPr>
          <w:rFonts w:hint="eastAsia" w:ascii="仿宋" w:hAnsi="仿宋" w:eastAsia="仿宋" w:cs="仿宋"/>
          <w:color w:val="auto"/>
          <w:spacing w:val="6"/>
          <w:kern w:val="0"/>
          <w:sz w:val="24"/>
          <w:szCs w:val="24"/>
          <w:highlight w:val="none"/>
        </w:rPr>
        <w:t>联合体投标。联合体投标的应满足下列要</w:t>
      </w:r>
      <w:r>
        <w:rPr>
          <w:rFonts w:hint="eastAsia" w:ascii="仿宋" w:hAnsi="仿宋" w:eastAsia="仿宋" w:cs="仿宋"/>
          <w:color w:val="auto"/>
          <w:spacing w:val="-1"/>
          <w:kern w:val="0"/>
          <w:sz w:val="24"/>
          <w:szCs w:val="24"/>
          <w:highlight w:val="none"/>
        </w:rPr>
        <w:t>求：</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highlight w:val="none"/>
        </w:rPr>
      </w:pPr>
      <w:r>
        <w:rPr>
          <w:rFonts w:hint="eastAsia" w:ascii="仿宋" w:hAnsi="仿宋" w:eastAsia="仿宋" w:cs="仿宋"/>
          <w:color w:val="auto"/>
          <w:spacing w:val="6"/>
          <w:kern w:val="0"/>
          <w:sz w:val="24"/>
          <w:szCs w:val="24"/>
          <w:highlight w:val="none"/>
        </w:rPr>
        <w:t>（1）联合体的成员不超过</w:t>
      </w:r>
      <w:r>
        <w:rPr>
          <w:rFonts w:hint="eastAsia" w:ascii="仿宋" w:hAnsi="仿宋" w:eastAsia="仿宋" w:cs="仿宋"/>
          <w:color w:val="auto"/>
          <w:spacing w:val="6"/>
          <w:kern w:val="0"/>
          <w:sz w:val="24"/>
          <w:szCs w:val="24"/>
          <w:highlight w:val="none"/>
          <w:u w:val="single"/>
        </w:rPr>
        <w:t>2</w:t>
      </w:r>
      <w:r>
        <w:rPr>
          <w:rFonts w:hint="eastAsia" w:ascii="仿宋" w:hAnsi="仿宋" w:eastAsia="仿宋" w:cs="仿宋"/>
          <w:color w:val="auto"/>
          <w:spacing w:val="6"/>
          <w:kern w:val="0"/>
          <w:sz w:val="24"/>
          <w:szCs w:val="24"/>
          <w:highlight w:val="none"/>
        </w:rPr>
        <w:t xml:space="preserve">家； </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highlight w:val="none"/>
        </w:rPr>
      </w:pPr>
      <w:r>
        <w:rPr>
          <w:rFonts w:hint="eastAsia" w:ascii="仿宋" w:hAnsi="仿宋" w:eastAsia="仿宋" w:cs="仿宋"/>
          <w:color w:val="auto"/>
          <w:spacing w:val="6"/>
          <w:kern w:val="0"/>
          <w:sz w:val="24"/>
          <w:szCs w:val="24"/>
          <w:highlight w:val="none"/>
        </w:rPr>
        <w:t>（2）联合体各方须签订联合体协议书，协议中必须明确联合体各方的责任和义务、工作职责，并明确联合体牵头人。</w:t>
      </w:r>
    </w:p>
    <w:p>
      <w:pPr>
        <w:tabs>
          <w:tab w:val="left" w:pos="3376"/>
        </w:tabs>
        <w:adjustRightInd w:val="0"/>
        <w:snapToGrid w:val="0"/>
        <w:spacing w:line="360" w:lineRule="auto"/>
        <w:ind w:firstLine="504" w:firstLineChars="200"/>
        <w:rPr>
          <w:rFonts w:ascii="仿宋" w:hAnsi="仿宋" w:eastAsia="仿宋" w:cs="仿宋"/>
          <w:color w:val="auto"/>
          <w:sz w:val="24"/>
          <w:szCs w:val="24"/>
          <w:highlight w:val="none"/>
        </w:rPr>
      </w:pPr>
      <w:r>
        <w:rPr>
          <w:rFonts w:hint="eastAsia" w:ascii="仿宋" w:hAnsi="仿宋" w:eastAsia="仿宋" w:cs="仿宋"/>
          <w:color w:val="auto"/>
          <w:spacing w:val="6"/>
          <w:kern w:val="0"/>
          <w:sz w:val="24"/>
          <w:szCs w:val="24"/>
          <w:highlight w:val="none"/>
        </w:rPr>
        <w:t>（3）项目经理由牵头人拟派；</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highlight w:val="none"/>
        </w:rPr>
      </w:pPr>
      <w:r>
        <w:rPr>
          <w:rFonts w:hint="eastAsia" w:ascii="仿宋" w:hAnsi="仿宋" w:eastAsia="仿宋" w:cs="仿宋"/>
          <w:color w:val="auto"/>
          <w:spacing w:val="6"/>
          <w:kern w:val="0"/>
          <w:sz w:val="24"/>
          <w:szCs w:val="24"/>
          <w:highlight w:val="none"/>
        </w:rPr>
        <w:t>（4）应以联合体牵头人的名义递交投标保证金。以联合体牵头人名义递交的投标保证金对联合体各成员具有约束力；</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highlight w:val="none"/>
        </w:rPr>
      </w:pPr>
      <w:r>
        <w:rPr>
          <w:rFonts w:hint="eastAsia" w:ascii="仿宋" w:hAnsi="仿宋" w:eastAsia="仿宋" w:cs="仿宋"/>
          <w:color w:val="auto"/>
          <w:spacing w:val="6"/>
          <w:kern w:val="0"/>
          <w:sz w:val="24"/>
          <w:szCs w:val="24"/>
          <w:highlight w:val="none"/>
        </w:rPr>
        <w:t xml:space="preserve">（4）应按招标文件要求提交联合体各成员的有关证件和资料； </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highlight w:val="none"/>
        </w:rPr>
      </w:pPr>
      <w:r>
        <w:rPr>
          <w:rFonts w:hint="eastAsia" w:ascii="仿宋" w:hAnsi="仿宋" w:eastAsia="仿宋" w:cs="仿宋"/>
          <w:color w:val="auto"/>
          <w:spacing w:val="6"/>
          <w:kern w:val="0"/>
          <w:sz w:val="24"/>
          <w:szCs w:val="24"/>
          <w:highlight w:val="none"/>
        </w:rPr>
        <w:t>（5）参加联合体投标的各成员不得再以自己的名义或加入其他联合体参与对本项目的投标。</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8.其他条件</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w:t>
      </w:r>
      <w:r>
        <w:rPr>
          <w:rFonts w:hint="eastAsia" w:ascii="仿宋" w:hAnsi="仿宋" w:eastAsia="仿宋" w:cs="仿宋"/>
          <w:color w:val="auto"/>
          <w:sz w:val="24"/>
          <w:szCs w:val="24"/>
          <w:highlight w:val="none"/>
        </w:rPr>
        <w:t>8.1</w:t>
      </w:r>
      <w:r>
        <w:rPr>
          <w:rFonts w:hint="eastAsia" w:ascii="仿宋" w:hAnsi="仿宋" w:eastAsia="仿宋" w:cs="仿宋"/>
          <w:color w:val="auto"/>
          <w:sz w:val="24"/>
          <w:szCs w:val="24"/>
          <w:highlight w:val="none"/>
          <w:lang w:val="en-US" w:eastAsia="zh-CN"/>
        </w:rPr>
        <w:t>类似/</w:t>
      </w:r>
      <w:r>
        <w:rPr>
          <w:rFonts w:hint="eastAsia" w:ascii="仿宋" w:hAnsi="仿宋" w:eastAsia="仿宋" w:cs="仿宋"/>
          <w:color w:val="auto"/>
          <w:sz w:val="24"/>
          <w:szCs w:val="24"/>
          <w:highlight w:val="none"/>
        </w:rPr>
        <w:t>同类</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业绩：</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kern w:val="0"/>
          <w:sz w:val="24"/>
          <w:szCs w:val="24"/>
          <w:highlight w:val="none"/>
        </w:rPr>
      </w:pPr>
      <w:bookmarkStart w:id="22" w:name="_Hlk134187948"/>
      <w:bookmarkStart w:id="23" w:name="_Toc14876"/>
      <w:bookmarkStart w:id="24" w:name="_Toc27177"/>
      <w:r>
        <w:rPr>
          <w:rFonts w:hint="eastAsia" w:ascii="仿宋" w:hAnsi="仿宋" w:eastAsia="仿宋" w:cs="仿宋"/>
          <w:color w:val="auto"/>
          <w:kern w:val="0"/>
          <w:sz w:val="24"/>
          <w:szCs w:val="24"/>
          <w:highlight w:val="none"/>
        </w:rPr>
        <w:t>□</w:t>
      </w:r>
      <w:bookmarkEnd w:id="22"/>
      <w:r>
        <w:rPr>
          <w:rFonts w:hint="eastAsia" w:ascii="仿宋" w:hAnsi="仿宋" w:eastAsia="仿宋" w:cs="仿宋"/>
          <w:color w:val="auto"/>
          <w:kern w:val="0"/>
          <w:sz w:val="24"/>
          <w:szCs w:val="24"/>
          <w:highlight w:val="none"/>
        </w:rPr>
        <w:t>8.2</w:t>
      </w:r>
      <w:r>
        <w:rPr>
          <w:rFonts w:hint="eastAsia" w:ascii="仿宋" w:hAnsi="仿宋" w:eastAsia="仿宋" w:cs="仿宋"/>
          <w:color w:val="auto"/>
          <w:sz w:val="24"/>
          <w:szCs w:val="24"/>
          <w:highlight w:val="none"/>
        </w:rPr>
        <w:t>拟派项目经理</w:t>
      </w:r>
      <w:r>
        <w:rPr>
          <w:rFonts w:hint="eastAsia" w:ascii="仿宋" w:hAnsi="仿宋" w:eastAsia="仿宋" w:cs="仿宋"/>
          <w:color w:val="auto"/>
          <w:spacing w:val="22"/>
          <w:kern w:val="0"/>
          <w:sz w:val="24"/>
          <w:szCs w:val="24"/>
          <w:highlight w:val="none"/>
        </w:rPr>
        <w:t>自/年/月/日以来在</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u w:val="single"/>
        </w:rPr>
        <w:t xml:space="preserve"> /    </w:t>
      </w:r>
      <w:r>
        <w:rPr>
          <w:rFonts w:hint="eastAsia" w:ascii="仿宋" w:hAnsi="仿宋" w:eastAsia="仿宋" w:cs="仿宋"/>
          <w:color w:val="auto"/>
          <w:kern w:val="0"/>
          <w:sz w:val="24"/>
          <w:szCs w:val="24"/>
          <w:highlight w:val="none"/>
        </w:rPr>
        <w:t>的</w:t>
      </w:r>
      <w:r>
        <w:rPr>
          <w:rFonts w:hint="eastAsia" w:ascii="仿宋" w:hAnsi="仿宋" w:eastAsia="仿宋" w:cs="仿宋"/>
          <w:color w:val="auto"/>
          <w:spacing w:val="22"/>
          <w:kern w:val="0"/>
          <w:sz w:val="24"/>
          <w:szCs w:val="24"/>
          <w:highlight w:val="none"/>
        </w:rPr>
        <w:t>担任过</w:t>
      </w:r>
      <w:r>
        <w:rPr>
          <w:rFonts w:hint="eastAsia" w:ascii="仿宋" w:hAnsi="仿宋" w:eastAsia="仿宋" w:cs="仿宋"/>
          <w:color w:val="auto"/>
          <w:kern w:val="0"/>
          <w:sz w:val="24"/>
          <w:szCs w:val="24"/>
          <w:highlight w:val="none"/>
        </w:rPr>
        <w:t>项目经理（施工项目经理）业绩；</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□8.3/。（招标人认为需要增加的，符合法律法规的其他要求）。</w:t>
      </w:r>
    </w:p>
    <w:p>
      <w:pPr>
        <w:adjustRightInd w:val="0"/>
        <w:snapToGrid w:val="0"/>
        <w:spacing w:line="360" w:lineRule="auto"/>
        <w:ind w:firstLine="482" w:firstLineChars="200"/>
        <w:outlineLvl w:val="1"/>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五、报名及招标文件获取</w:t>
      </w:r>
      <w:bookmarkEnd w:id="23"/>
      <w:bookmarkEnd w:id="24"/>
    </w:p>
    <w:p>
      <w:pPr>
        <w:widowControl/>
        <w:adjustRightInd w:val="0"/>
        <w:snapToGrid w:val="0"/>
        <w:spacing w:line="360" w:lineRule="auto"/>
        <w:ind w:firstLine="480" w:firstLineChars="200"/>
        <w:rPr>
          <w:rFonts w:ascii="仿宋" w:hAnsi="仿宋" w:eastAsia="仿宋" w:cs="仿宋"/>
          <w:color w:val="auto"/>
          <w:sz w:val="24"/>
          <w:szCs w:val="20"/>
          <w:highlight w:val="none"/>
        </w:rPr>
      </w:pPr>
      <w:r>
        <w:rPr>
          <w:rFonts w:hint="eastAsia" w:ascii="仿宋" w:hAnsi="仿宋" w:eastAsia="仿宋" w:cs="仿宋"/>
          <w:color w:val="auto"/>
          <w:kern w:val="0"/>
          <w:sz w:val="24"/>
          <w:szCs w:val="24"/>
          <w:highlight w:val="none"/>
        </w:rPr>
        <w:t>1.时间：</w:t>
      </w:r>
      <w:r>
        <w:rPr>
          <w:rFonts w:hint="eastAsia" w:ascii="仿宋" w:hAnsi="仿宋" w:eastAsia="仿宋" w:cs="仿宋"/>
          <w:color w:val="auto"/>
          <w:kern w:val="0"/>
          <w:sz w:val="24"/>
          <w:szCs w:val="24"/>
          <w:highlight w:val="none"/>
        </w:rPr>
        <w:t>2023年</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日起至2023年</w:t>
      </w:r>
      <w:r>
        <w:rPr>
          <w:rFonts w:hint="eastAsia" w:ascii="仿宋" w:hAnsi="仿宋" w:eastAsia="仿宋" w:cs="仿宋"/>
          <w:color w:val="auto"/>
          <w:kern w:val="0"/>
          <w:sz w:val="24"/>
          <w:szCs w:val="24"/>
          <w:highlight w:val="none"/>
          <w:lang w:val="en-US" w:eastAsia="zh-CN"/>
        </w:rPr>
        <w:t>7</w:t>
      </w:r>
      <w:r>
        <w:rPr>
          <w:rFonts w:hint="eastAsia" w:ascii="仿宋" w:hAnsi="仿宋" w:eastAsia="仿宋" w:cs="仿宋"/>
          <w:color w:val="auto"/>
          <w:kern w:val="0"/>
          <w:sz w:val="24"/>
          <w:szCs w:val="24"/>
          <w:highlight w:val="none"/>
        </w:rPr>
        <w:t>月</w:t>
      </w:r>
      <w:r>
        <w:rPr>
          <w:rFonts w:hint="eastAsia" w:ascii="仿宋" w:hAnsi="仿宋" w:eastAsia="仿宋" w:cs="仿宋"/>
          <w:color w:val="auto"/>
          <w:kern w:val="0"/>
          <w:sz w:val="24"/>
          <w:szCs w:val="24"/>
          <w:highlight w:val="none"/>
          <w:lang w:val="en-US" w:eastAsia="zh-CN"/>
        </w:rPr>
        <w:t>13</w:t>
      </w:r>
      <w:r>
        <w:rPr>
          <w:rFonts w:hint="eastAsia" w:ascii="仿宋" w:hAnsi="仿宋" w:eastAsia="仿宋" w:cs="仿宋"/>
          <w:color w:val="auto"/>
          <w:kern w:val="0"/>
          <w:sz w:val="24"/>
          <w:szCs w:val="24"/>
          <w:highlight w:val="none"/>
        </w:rPr>
        <w:t>日（</w:t>
      </w:r>
      <w:r>
        <w:rPr>
          <w:rFonts w:hint="eastAsia" w:ascii="仿宋" w:hAnsi="仿宋" w:eastAsia="仿宋" w:cs="仿宋"/>
          <w:bCs/>
          <w:color w:val="auto"/>
          <w:kern w:val="0"/>
          <w:sz w:val="24"/>
          <w:szCs w:val="24"/>
          <w:highlight w:val="none"/>
          <w:lang w:val="zh-TW" w:eastAsia="zh-TW"/>
        </w:rPr>
        <w:t>自本公告发布之日起</w:t>
      </w:r>
      <w:r>
        <w:rPr>
          <w:rFonts w:hint="eastAsia" w:ascii="仿宋" w:hAnsi="仿宋" w:eastAsia="仿宋" w:cs="仿宋"/>
          <w:bCs/>
          <w:color w:val="auto"/>
          <w:kern w:val="0"/>
          <w:sz w:val="24"/>
          <w:szCs w:val="24"/>
          <w:highlight w:val="none"/>
        </w:rPr>
        <w:t>不少于5</w:t>
      </w:r>
      <w:r>
        <w:rPr>
          <w:rFonts w:hint="eastAsia" w:ascii="仿宋" w:hAnsi="仿宋" w:eastAsia="仿宋" w:cs="仿宋"/>
          <w:bCs/>
          <w:color w:val="auto"/>
          <w:kern w:val="0"/>
          <w:sz w:val="24"/>
          <w:szCs w:val="24"/>
          <w:highlight w:val="none"/>
          <w:lang w:val="zh-TW" w:eastAsia="zh-TW"/>
        </w:rPr>
        <w:t>日</w:t>
      </w:r>
      <w:r>
        <w:rPr>
          <w:rFonts w:hint="eastAsia" w:ascii="仿宋" w:hAnsi="仿宋" w:eastAsia="仿宋" w:cs="仿宋"/>
          <w:color w:val="auto"/>
          <w:kern w:val="0"/>
          <w:sz w:val="24"/>
          <w:szCs w:val="24"/>
          <w:highlight w:val="none"/>
        </w:rPr>
        <w:t>。开始日、结束日为工作日</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rPr>
        <w:t>。</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2.方式：</w:t>
      </w:r>
    </w:p>
    <w:p>
      <w:pPr>
        <w:adjustRightInd w:val="0"/>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电子邮件：投标人在报名及获取截止时间前将报名需提供的资料扫描生成PDF格式发送至邮箱zjct1215@163.com（</w:t>
      </w:r>
      <w:r>
        <w:rPr>
          <w:rFonts w:hint="eastAsia" w:ascii="仿宋" w:hAnsi="仿宋" w:eastAsia="仿宋" w:cs="仿宋"/>
          <w:b/>
          <w:bCs/>
          <w:color w:val="auto"/>
          <w:sz w:val="24"/>
          <w:szCs w:val="24"/>
          <w:highlight w:val="none"/>
        </w:rPr>
        <w:t>邮件备注为***单位的***项目报名资料）</w:t>
      </w:r>
      <w:r>
        <w:rPr>
          <w:rFonts w:hint="eastAsia" w:ascii="仿宋" w:hAnsi="仿宋" w:eastAsia="仿宋" w:cs="仿宋"/>
          <w:color w:val="auto"/>
          <w:sz w:val="24"/>
          <w:szCs w:val="24"/>
          <w:highlight w:val="none"/>
        </w:rPr>
        <w:t>，同时电话告知代理机构0571-85152323，如未按要求扫描将退回报名资料。</w:t>
      </w:r>
    </w:p>
    <w:p>
      <w:pPr>
        <w:adjustRightInd w:val="0"/>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邮寄或快递：投标人在报名及获取截止时间前将报名需提供的资料寄至代理机构处，寄出后及时电话告知代理机构0571-85152323。（收件地址：浙江省杭州市西湖区古墩路701号紫金广场A座1208室，收件人：韩飞，联系电话：0571-85152323）</w:t>
      </w:r>
    </w:p>
    <w:p>
      <w:pPr>
        <w:adjustRightInd w:val="0"/>
        <w:snapToGrid w:val="0"/>
        <w:spacing w:line="360" w:lineRule="auto"/>
        <w:ind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现场报名：投标人在报名及获取截止时间前由授权代表携报名需提供的资料至代理机构处报名。（办公时间：工作日上午9:00-11:00,下午13:00-17:00，地址：浙江省杭州市西湖区古墩路701号紫金广场A座1208室，报名联系人：韩飞，联系电话：0571-85152323）</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3.资料费用：</w:t>
      </w:r>
      <w:r>
        <w:rPr>
          <w:rFonts w:hint="eastAsia" w:ascii="仿宋" w:hAnsi="仿宋" w:eastAsia="仿宋" w:cs="仿宋"/>
          <w:color w:val="auto"/>
          <w:sz w:val="24"/>
          <w:szCs w:val="24"/>
          <w:highlight w:val="none"/>
          <w:u w:val="single"/>
        </w:rPr>
        <w:t>500</w:t>
      </w:r>
      <w:r>
        <w:rPr>
          <w:rFonts w:hint="eastAsia" w:ascii="仿宋" w:hAnsi="仿宋" w:eastAsia="仿宋" w:cs="仿宋"/>
          <w:color w:val="auto"/>
          <w:sz w:val="24"/>
          <w:szCs w:val="24"/>
          <w:highlight w:val="none"/>
        </w:rPr>
        <w:t>元人民币，售后恕不退还。报名资料通过后交纳。</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4.报名需提供的资料：</w:t>
      </w:r>
      <w:bookmarkStart w:id="25" w:name="_Hlk135838166"/>
      <w:r>
        <w:rPr>
          <w:rFonts w:ascii="仿宋" w:hAnsi="仿宋" w:eastAsia="仿宋" w:cs="仿宋"/>
          <w:color w:val="auto"/>
          <w:sz w:val="24"/>
          <w:szCs w:val="24"/>
          <w:highlight w:val="none"/>
        </w:rPr>
        <w:sym w:font="Wingdings" w:char="00FE"/>
      </w:r>
      <w:bookmarkEnd w:id="25"/>
      <w:r>
        <w:rPr>
          <w:rFonts w:hint="eastAsia" w:ascii="仿宋" w:hAnsi="仿宋" w:eastAsia="仿宋" w:cs="仿宋"/>
          <w:color w:val="auto"/>
          <w:sz w:val="24"/>
          <w:szCs w:val="24"/>
          <w:highlight w:val="none"/>
        </w:rPr>
        <w:t>介绍信及授权代表社保缴纳证明、</w:t>
      </w:r>
      <w:r>
        <w:rPr>
          <w:rFonts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营业执照副本或事业单位（非公益类一类）法人证书、</w:t>
      </w:r>
      <w:r>
        <w:rPr>
          <w:rFonts w:ascii="仿宋" w:hAnsi="仿宋" w:eastAsia="仿宋" w:cs="仿宋"/>
          <w:color w:val="auto"/>
          <w:sz w:val="24"/>
          <w:szCs w:val="24"/>
          <w:highlight w:val="none"/>
        </w:rPr>
        <w:sym w:font="Wingdings" w:char="00FE"/>
      </w:r>
      <w:r>
        <w:rPr>
          <w:rFonts w:hint="eastAsia" w:ascii="仿宋" w:hAnsi="仿宋" w:eastAsia="仿宋" w:cs="仿宋"/>
          <w:bCs/>
          <w:color w:val="auto"/>
          <w:sz w:val="24"/>
          <w:szCs w:val="24"/>
          <w:highlight w:val="none"/>
        </w:rPr>
        <w:t>“天眼查”投标人股权关系查询结果网页截图、</w:t>
      </w:r>
      <w:r>
        <w:rPr>
          <w:rFonts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获取文件登记表word版和扫描件</w:t>
      </w:r>
      <w:r>
        <w:rPr>
          <w:rFonts w:hint="eastAsia" w:ascii="仿宋" w:hAnsi="仿宋" w:eastAsia="仿宋" w:cs="仿宋"/>
          <w:bCs/>
          <w:color w:val="auto"/>
          <w:sz w:val="24"/>
          <w:szCs w:val="24"/>
          <w:highlight w:val="none"/>
        </w:rPr>
        <w:t>（在浙江政府采购网所发布的公告底部下载）、</w:t>
      </w:r>
      <w:r>
        <w:rPr>
          <w:rFonts w:ascii="仿宋" w:hAnsi="仿宋" w:eastAsia="仿宋" w:cs="仿宋"/>
          <w:color w:val="auto"/>
          <w:sz w:val="24"/>
          <w:szCs w:val="24"/>
          <w:highlight w:val="none"/>
          <w:u w:val="single"/>
        </w:rPr>
        <w:sym w:font="Wingdings" w:char="00FE"/>
      </w:r>
      <w:r>
        <w:rPr>
          <w:rFonts w:hint="eastAsia" w:ascii="仿宋" w:hAnsi="仿宋" w:eastAsia="仿宋" w:cs="仿宋"/>
          <w:bCs/>
          <w:color w:val="auto"/>
          <w:sz w:val="24"/>
          <w:szCs w:val="24"/>
          <w:highlight w:val="none"/>
          <w:u w:val="single"/>
        </w:rPr>
        <w:t>其他：</w:t>
      </w:r>
      <w:r>
        <w:rPr>
          <w:rFonts w:ascii="仿宋" w:hAnsi="仿宋" w:eastAsia="仿宋" w:cs="仿宋"/>
          <w:color w:val="auto"/>
          <w:sz w:val="24"/>
          <w:szCs w:val="24"/>
          <w:highlight w:val="none"/>
          <w:u w:val="single"/>
        </w:rPr>
        <w:sym w:font="Wingdings" w:char="00FE"/>
      </w:r>
      <w:r>
        <w:rPr>
          <w:rFonts w:hint="eastAsia" w:ascii="仿宋" w:hAnsi="仿宋" w:eastAsia="仿宋" w:cs="仿宋"/>
          <w:color w:val="auto"/>
          <w:sz w:val="24"/>
          <w:szCs w:val="24"/>
          <w:highlight w:val="none"/>
          <w:u w:val="single"/>
        </w:rPr>
        <w:t>资质（许可）证书、</w:t>
      </w:r>
      <w:r>
        <w:rPr>
          <w:rFonts w:hint="eastAsia" w:ascii="仿宋" w:hAnsi="仿宋" w:eastAsia="仿宋" w:cs="仿宋"/>
          <w:color w:val="auto"/>
          <w:sz w:val="24"/>
          <w:szCs w:val="24"/>
          <w:highlight w:val="none"/>
          <w:u w:val="single"/>
        </w:rPr>
        <w:sym w:font="Wingdings 2" w:char="00A3"/>
      </w:r>
      <w:r>
        <w:rPr>
          <w:rFonts w:hint="eastAsia" w:ascii="仿宋" w:hAnsi="仿宋" w:eastAsia="仿宋" w:cs="仿宋"/>
          <w:color w:val="auto"/>
          <w:sz w:val="24"/>
          <w:szCs w:val="24"/>
          <w:highlight w:val="none"/>
          <w:u w:val="single"/>
        </w:rPr>
        <w:t>代理商参加投标的须提供拟投设备制造商针对本项目的唯一授权书、</w:t>
      </w:r>
      <w:r>
        <w:rPr>
          <w:rFonts w:ascii="仿宋" w:hAnsi="仿宋" w:eastAsia="仿宋" w:cs="仿宋"/>
          <w:color w:val="auto"/>
          <w:sz w:val="24"/>
          <w:szCs w:val="24"/>
          <w:highlight w:val="none"/>
          <w:u w:val="single"/>
        </w:rPr>
        <w:sym w:font="Wingdings" w:char="00FE"/>
      </w:r>
      <w:r>
        <w:rPr>
          <w:rFonts w:hint="eastAsia" w:ascii="仿宋" w:hAnsi="仿宋" w:eastAsia="仿宋" w:cs="仿宋"/>
          <w:color w:val="auto"/>
          <w:sz w:val="24"/>
          <w:szCs w:val="24"/>
          <w:highlight w:val="none"/>
          <w:u w:val="single"/>
        </w:rPr>
        <w:t>安全生产许可证、</w:t>
      </w:r>
      <w:bookmarkStart w:id="26" w:name="_Hlk135838229"/>
      <w:r>
        <w:rPr>
          <w:rFonts w:ascii="仿宋" w:hAnsi="仿宋" w:eastAsia="仿宋" w:cs="仿宋"/>
          <w:color w:val="auto"/>
          <w:sz w:val="24"/>
          <w:szCs w:val="24"/>
          <w:highlight w:val="none"/>
          <w:u w:val="single"/>
        </w:rPr>
        <w:sym w:font="Wingdings" w:char="00FE"/>
      </w:r>
      <w:r>
        <w:rPr>
          <w:rFonts w:hint="eastAsia" w:ascii="仿宋" w:hAnsi="仿宋" w:eastAsia="仿宋" w:cs="仿宋"/>
          <w:color w:val="auto"/>
          <w:sz w:val="24"/>
          <w:szCs w:val="24"/>
          <w:highlight w:val="none"/>
          <w:u w:val="single"/>
        </w:rPr>
        <w:t>拟派项目经理证书、</w:t>
      </w:r>
      <w:bookmarkEnd w:id="26"/>
      <w:r>
        <w:rPr>
          <w:rFonts w:ascii="仿宋" w:hAnsi="仿宋" w:eastAsia="仿宋" w:cs="仿宋"/>
          <w:color w:val="auto"/>
          <w:sz w:val="24"/>
          <w:szCs w:val="24"/>
          <w:highlight w:val="none"/>
          <w:u w:val="single"/>
        </w:rPr>
        <w:sym w:font="Wingdings" w:char="00A8"/>
      </w:r>
      <w:r>
        <w:rPr>
          <w:rFonts w:hint="eastAsia" w:ascii="仿宋" w:hAnsi="仿宋" w:eastAsia="仿宋" w:cs="仿宋"/>
          <w:color w:val="auto"/>
          <w:sz w:val="24"/>
          <w:szCs w:val="24"/>
          <w:highlight w:val="none"/>
          <w:u w:val="single"/>
        </w:rPr>
        <w:t>业绩证明材料（</w:t>
      </w:r>
      <w:r>
        <w:rPr>
          <w:rFonts w:ascii="仿宋" w:hAnsi="仿宋" w:eastAsia="仿宋" w:cs="仿宋"/>
          <w:color w:val="auto"/>
          <w:sz w:val="24"/>
          <w:szCs w:val="24"/>
          <w:highlight w:val="none"/>
          <w:u w:val="single"/>
        </w:rPr>
        <w:sym w:font="Wingdings" w:char="00A8"/>
      </w:r>
      <w:r>
        <w:rPr>
          <w:rFonts w:hint="eastAsia" w:ascii="仿宋" w:hAnsi="仿宋" w:eastAsia="仿宋" w:cs="仿宋"/>
          <w:color w:val="auto"/>
          <w:sz w:val="24"/>
          <w:szCs w:val="24"/>
          <w:highlight w:val="none"/>
          <w:u w:val="single"/>
        </w:rPr>
        <w:t>合同、</w:t>
      </w:r>
      <w:r>
        <w:rPr>
          <w:rFonts w:ascii="仿宋" w:hAnsi="仿宋" w:eastAsia="仿宋" w:cs="仿宋"/>
          <w:color w:val="auto"/>
          <w:sz w:val="24"/>
          <w:szCs w:val="24"/>
          <w:highlight w:val="none"/>
          <w:u w:val="single"/>
        </w:rPr>
        <w:sym w:font="Wingdings" w:char="00A8"/>
      </w:r>
      <w:r>
        <w:rPr>
          <w:rFonts w:hint="eastAsia" w:ascii="仿宋" w:hAnsi="仿宋" w:eastAsia="仿宋" w:cs="仿宋"/>
          <w:color w:val="auto"/>
          <w:sz w:val="24"/>
          <w:szCs w:val="24"/>
          <w:highlight w:val="none"/>
          <w:u w:val="single"/>
        </w:rPr>
        <w:t>中标/成交通知书、</w:t>
      </w:r>
      <w:r>
        <w:rPr>
          <w:rFonts w:ascii="仿宋" w:hAnsi="仿宋" w:eastAsia="仿宋" w:cs="仿宋"/>
          <w:color w:val="auto"/>
          <w:sz w:val="24"/>
          <w:szCs w:val="24"/>
          <w:highlight w:val="none"/>
          <w:u w:val="single"/>
        </w:rPr>
        <w:sym w:font="Wingdings" w:char="00A8"/>
      </w:r>
      <w:r>
        <w:rPr>
          <w:rFonts w:hint="eastAsia" w:ascii="仿宋" w:hAnsi="仿宋" w:eastAsia="仿宋" w:cs="仿宋"/>
          <w:color w:val="auto"/>
          <w:sz w:val="24"/>
          <w:szCs w:val="24"/>
          <w:highlight w:val="none"/>
          <w:u w:val="single"/>
        </w:rPr>
        <w:t>验收证明材料）、</w:t>
      </w:r>
      <w:r>
        <w:rPr>
          <w:rFonts w:ascii="仿宋" w:hAnsi="仿宋" w:eastAsia="仿宋" w:cs="仿宋"/>
          <w:color w:val="auto"/>
          <w:sz w:val="24"/>
          <w:szCs w:val="24"/>
          <w:highlight w:val="none"/>
          <w:u w:val="single"/>
        </w:rPr>
        <w:sym w:font="Wingdings" w:char="00FE"/>
      </w:r>
      <w:r>
        <w:rPr>
          <w:rFonts w:hint="eastAsia" w:ascii="仿宋" w:hAnsi="仿宋" w:eastAsia="仿宋" w:cs="仿宋"/>
          <w:color w:val="auto"/>
          <w:sz w:val="24"/>
          <w:szCs w:val="24"/>
          <w:highlight w:val="none"/>
          <w:u w:val="single"/>
        </w:rPr>
        <w:t>联合体协议书（如有）</w:t>
      </w:r>
      <w:r>
        <w:rPr>
          <w:rFonts w:hint="eastAsia" w:ascii="仿宋" w:hAnsi="仿宋" w:eastAsia="仿宋" w:cs="仿宋"/>
          <w:bCs/>
          <w:color w:val="auto"/>
          <w:sz w:val="24"/>
          <w:szCs w:val="24"/>
          <w:highlight w:val="none"/>
          <w:u w:val="single"/>
        </w:rPr>
        <w:t>。</w:t>
      </w:r>
      <w:r>
        <w:rPr>
          <w:rFonts w:hint="eastAsia" w:ascii="仿宋" w:hAnsi="仿宋" w:eastAsia="仿宋" w:cs="仿宋"/>
          <w:b/>
          <w:bCs/>
          <w:color w:val="auto"/>
          <w:sz w:val="24"/>
          <w:szCs w:val="24"/>
          <w:highlight w:val="none"/>
        </w:rPr>
        <w:t>以上所有资料复印件加盖单位公章。</w:t>
      </w:r>
    </w:p>
    <w:p>
      <w:pPr>
        <w:autoSpaceDE w:val="0"/>
        <w:autoSpaceDN w:val="0"/>
        <w:adjustRightInd w:val="0"/>
        <w:snapToGrid w:val="0"/>
        <w:spacing w:line="360" w:lineRule="auto"/>
        <w:ind w:firstLine="482" w:firstLineChars="200"/>
        <w:outlineLvl w:val="1"/>
        <w:rPr>
          <w:rFonts w:ascii="仿宋" w:hAnsi="仿宋" w:eastAsia="仿宋" w:cs="仿宋"/>
          <w:bCs/>
          <w:color w:val="auto"/>
          <w:kern w:val="0"/>
          <w:sz w:val="24"/>
          <w:szCs w:val="24"/>
          <w:highlight w:val="none"/>
        </w:rPr>
      </w:pPr>
      <w:bookmarkStart w:id="27" w:name="_Toc13920"/>
      <w:bookmarkStart w:id="28" w:name="_Toc9210"/>
      <w:r>
        <w:rPr>
          <w:rFonts w:hint="eastAsia" w:ascii="仿宋" w:hAnsi="仿宋" w:eastAsia="仿宋" w:cs="仿宋"/>
          <w:b/>
          <w:bCs/>
          <w:color w:val="auto"/>
          <w:kern w:val="0"/>
          <w:sz w:val="24"/>
          <w:szCs w:val="24"/>
          <w:highlight w:val="none"/>
        </w:rPr>
        <w:t>六、投标文件的递交</w:t>
      </w:r>
      <w:bookmarkEnd w:id="27"/>
      <w:bookmarkEnd w:id="28"/>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1.截止时间：</w:t>
      </w:r>
      <w:r>
        <w:rPr>
          <w:rFonts w:hint="eastAsia" w:ascii="仿宋" w:hAnsi="仿宋" w:eastAsia="仿宋" w:cs="仿宋"/>
          <w:color w:val="auto"/>
          <w:sz w:val="24"/>
          <w:szCs w:val="24"/>
          <w:highlight w:val="none"/>
        </w:rPr>
        <w:t>2023年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分。</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2.递交地点：杭州市古墩路701号紫金广场A座1208室。</w:t>
      </w:r>
    </w:p>
    <w:p>
      <w:pPr>
        <w:adjustRightInd w:val="0"/>
        <w:snapToGrid w:val="0"/>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七、开标</w:t>
      </w:r>
    </w:p>
    <w:p>
      <w:pPr>
        <w:adjustRightInd w:val="0"/>
        <w:snapToGrid w:val="0"/>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1.时间：2023年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时</w:t>
      </w:r>
      <w:r>
        <w:rPr>
          <w:rFonts w:hint="eastAsia" w:ascii="仿宋" w:hAnsi="仿宋" w:eastAsia="仿宋" w:cs="仿宋"/>
          <w:color w:val="auto"/>
          <w:sz w:val="24"/>
          <w:szCs w:val="24"/>
          <w:highlight w:val="none"/>
          <w:lang w:val="en-US" w:eastAsia="zh-CN"/>
        </w:rPr>
        <w:t>00</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2.地址：杭州市古墩路701号紫金广场A座15楼</w:t>
      </w:r>
      <w:r>
        <w:rPr>
          <w:rFonts w:hint="eastAsia" w:ascii="仿宋" w:hAnsi="仿宋" w:eastAsia="仿宋" w:cs="仿宋"/>
          <w:color w:val="auto"/>
          <w:sz w:val="24"/>
          <w:szCs w:val="24"/>
          <w:highlight w:val="none"/>
          <w:lang w:val="en-US" w:eastAsia="zh-CN"/>
        </w:rPr>
        <w:t>1505</w:t>
      </w:r>
      <w:r>
        <w:rPr>
          <w:rFonts w:hint="eastAsia" w:ascii="仿宋" w:hAnsi="仿宋" w:eastAsia="仿宋" w:cs="仿宋"/>
          <w:color w:val="auto"/>
          <w:sz w:val="24"/>
          <w:szCs w:val="24"/>
          <w:highlight w:val="none"/>
        </w:rPr>
        <w:t>室。</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3.开标形式：</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钉钉直播，直播群号:</w:t>
      </w:r>
      <w:r>
        <w:rPr>
          <w:rFonts w:ascii="仿宋" w:hAnsi="仿宋" w:eastAsia="仿宋" w:cs="仿宋"/>
          <w:color w:val="auto"/>
          <w:sz w:val="24"/>
          <w:szCs w:val="24"/>
          <w:highlight w:val="none"/>
        </w:rPr>
        <w:t>31254946</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rPr>
        <w:sym w:font="Wingdings" w:char="00FE"/>
      </w:r>
      <w:r>
        <w:rPr>
          <w:rFonts w:hint="eastAsia" w:ascii="仿宋" w:hAnsi="仿宋" w:eastAsia="仿宋" w:cs="仿宋"/>
          <w:color w:val="auto"/>
          <w:sz w:val="24"/>
          <w:szCs w:val="24"/>
          <w:highlight w:val="none"/>
        </w:rPr>
        <w:t>现场开标。</w:t>
      </w:r>
    </w:p>
    <w:p>
      <w:pPr>
        <w:adjustRightInd w:val="0"/>
        <w:snapToGrid w:val="0"/>
        <w:spacing w:line="360" w:lineRule="auto"/>
        <w:ind w:firstLine="482" w:firstLineChars="20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八、联系方式</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招标单位名称：杭州城市能源有限公司</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招标单位地址：杭州市西湖区和林路6号</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招标单位联系人：汤工</w:t>
      </w:r>
    </w:p>
    <w:p>
      <w:pPr>
        <w:adjustRightInd w:val="0"/>
        <w:snapToGrid w:val="0"/>
        <w:spacing w:line="360" w:lineRule="auto"/>
        <w:ind w:firstLine="480" w:firstLineChars="200"/>
        <w:rPr>
          <w:rFonts w:ascii="仿宋" w:hAnsi="仿宋" w:eastAsia="PMingLiU" w:cs="仿宋"/>
          <w:color w:val="auto"/>
          <w:sz w:val="24"/>
          <w:szCs w:val="24"/>
          <w:highlight w:val="none"/>
        </w:rPr>
      </w:pPr>
      <w:r>
        <w:rPr>
          <w:rFonts w:hint="eastAsia" w:ascii="仿宋" w:hAnsi="仿宋" w:eastAsia="仿宋" w:cs="仿宋"/>
          <w:color w:val="auto"/>
          <w:sz w:val="24"/>
          <w:szCs w:val="24"/>
          <w:highlight w:val="none"/>
        </w:rPr>
        <w:t>联系电话：</w:t>
      </w:r>
      <w:r>
        <w:rPr>
          <w:rFonts w:ascii="仿宋" w:hAnsi="仿宋" w:eastAsia="PMingLiU" w:cs="仿宋"/>
          <w:color w:val="auto"/>
          <w:sz w:val="24"/>
          <w:szCs w:val="24"/>
          <w:highlight w:val="none"/>
          <w:lang w:val="zh-TW" w:eastAsia="zh-TW"/>
        </w:rPr>
        <w:t>18857108780</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招标代理机构名称：浙江省成套工程有限公司</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招标代理机构地址：浙江省杭州市西湖区古墩路701号紫金广场A座12楼</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招标代理机构联系人：吕婷、朱旭文、杨钰沛</w:t>
      </w:r>
    </w:p>
    <w:p>
      <w:pPr>
        <w:adjustRightInd w:val="0"/>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联系电话：0571-85152323  邮箱：ZJCT1215@163.com                         </w:t>
      </w:r>
      <w:bookmarkStart w:id="29" w:name="_Toc10686"/>
    </w:p>
    <w:p>
      <w:pPr>
        <w:kinsoku w:val="0"/>
        <w:overflowPunct w:val="0"/>
        <w:autoSpaceDE w:val="0"/>
        <w:autoSpaceDN w:val="0"/>
        <w:adjustRightInd w:val="0"/>
        <w:snapToGrid w:val="0"/>
        <w:spacing w:line="360" w:lineRule="auto"/>
        <w:ind w:firstLine="480" w:firstLineChars="200"/>
        <w:jc w:val="right"/>
        <w:rPr>
          <w:rFonts w:cs="Times New Roman"/>
          <w:color w:val="auto"/>
          <w:highlight w:val="none"/>
        </w:rPr>
      </w:pPr>
      <w:r>
        <w:rPr>
          <w:rFonts w:hint="eastAsia" w:ascii="仿宋" w:hAnsi="仿宋" w:eastAsia="仿宋" w:cs="仿宋"/>
          <w:color w:val="auto"/>
          <w:sz w:val="24"/>
          <w:szCs w:val="24"/>
          <w:highlight w:val="none"/>
        </w:rPr>
        <w:t>2023年</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日</w:t>
      </w:r>
      <w:bookmarkEnd w:id="29"/>
    </w:p>
    <w:p>
      <w:pPr>
        <w:rPr>
          <w:color w:val="auto"/>
          <w:highlight w:val="none"/>
        </w:rPr>
      </w:pPr>
    </w:p>
    <w:bookmarkEnd w:id="3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NGUxNDhiODk4MjdkYzc4YmUzMDUyZGE4N2IxYzkifQ=="/>
  </w:docVars>
  <w:rsids>
    <w:rsidRoot w:val="00000000"/>
    <w:rsid w:val="08A947B7"/>
    <w:rsid w:val="16B94A93"/>
    <w:rsid w:val="17BD47E2"/>
    <w:rsid w:val="304F42A8"/>
    <w:rsid w:val="33BE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Normal (Web)"/>
    <w:basedOn w:val="1"/>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1792</Words>
  <Characters>2057</Characters>
  <Lines>0</Lines>
  <Paragraphs>0</Paragraphs>
  <TotalTime>10</TotalTime>
  <ScaleCrop>false</ScaleCrop>
  <LinksUpToDate>false</LinksUpToDate>
  <CharactersWithSpaces>2105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Administrator</dc:creator>
  <cp:lastModifiedBy>nipd</cp:lastModifiedBy>
  <dcterms:modified xsi:type="dcterms:W3CDTF">2023-07-06T06:43:00Z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B78711A8EB6843728B900A31B846606E_12</vt:lpwstr>
  </property>
</Properties>
</file>